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rFonts w:ascii="Times New Roman" w:hAnsi="Times New Roman"/>
          <w:i/>
          <w:sz w:val="20"/>
          <w:szCs w:val="20"/>
          <w:color w:val="808080"/>
        </w:rPr>
        <w:t xml:space="preserve">4. Sosyal Bilimler Kongresi — Bildiri Özeti Şablonu (örnek doldurulmuştur)</w:t>
      </w:r>
    </w:p>
    <w:p>
      <w:pPr>
        <w:jc w:val="center"/>
        <w:spacing w:after="60" w:line="360" w:lineRule="auto"/>
      </w:pPr>
      <w:r>
        <w:rPr>
          <w:rFonts w:ascii="Times New Roman" w:hAnsi="Times New Roman"/>
          <w:b/>
          <w:sz w:val="28"/>
          <w:szCs w:val="28"/>
        </w:rPr>
        <w:t xml:space="preserve">Risk Toplumunda Kurumsal Dirençlilik: Lorem Ipsum Üzerine Bir İnceleme</w:t>
      </w:r>
    </w:p>
    <w:p>
      <w:pPr>
        <w:jc w:val="center"/>
        <w:spacing w:after="120"/>
      </w:pPr>
      <w:r>
        <w:rPr>
          <w:rFonts w:ascii="Times New Roman" w:hAnsi="Times New Roman"/>
          <w:sz w:val="24"/>
          <w:szCs w:val="24"/>
          <w:i/>
        </w:rPr>
        <w:t xml:space="preserve">Institutional Resilience in the Risk Society: An Inquiry on Lorem Ipsum</w:t>
      </w:r>
    </w:p>
    <w:p>
      <w:pPr>
        <w:jc w:val="center"/>
        <w:spacing w:after="40"/>
      </w:pPr>
      <w:r>
        <w:rPr>
          <w:rFonts w:ascii="Times New Roman" w:hAnsi="Times New Roman"/>
          <w:sz w:val="24"/>
          <w:szCs w:val="24"/>
        </w:rPr>
        <w:t xml:space="preserve">Elif Yıldız¹, Mehmet Demir²</w:t>
      </w:r>
    </w:p>
    <w:p>
      <w:pPr>
        <w:jc w:val="center"/>
        <w:spacing w:after="0"/>
      </w:pPr>
      <w:r>
        <w:rPr>
          <w:rFonts w:ascii="Times New Roman" w:hAnsi="Times New Roman"/>
          <w:sz w:val="24"/>
          <w:szCs w:val="24"/>
        </w:rPr>
        <w:t xml:space="preserve">¹ Bitlis Eren Üniversitesi, Sosyoloji Bölümü, elif.yildiz@ornek.edu.tr, ORCID: 0000-0002-1234-5678</w:t>
      </w:r>
    </w:p>
    <w:p>
      <w:pPr>
        <w:jc w:val="center"/>
        <w:spacing w:after="120"/>
      </w:pPr>
      <w:r>
        <w:rPr>
          <w:rFonts w:ascii="Times New Roman" w:hAnsi="Times New Roman"/>
          <w:sz w:val="24"/>
          <w:szCs w:val="24"/>
        </w:rPr>
        <w:t xml:space="preserve">² Muş Alparslan Üniversitesi, Kamu Yönetimi Bölümü, mehmet.demir@ornek.edu.tr, ORCID: 0000-0001-9876-5432</w:t>
      </w:r>
    </w:p>
    <w:p>
      <w:pPr>
        <w:spacing w:before="200" w:after="80"/>
      </w:pPr>
      <w:r>
        <w:rPr>
          <w:rFonts w:ascii="Times New Roman" w:hAnsi="Times New Roman"/>
          <w:b/>
          <w:sz w:val="24"/>
          <w:szCs w:val="24"/>
        </w:rPr>
        <w:t xml:space="preserve">Özet</w:t>
      </w:r>
    </w:p>
    <w:p>
      <w:pPr>
        <w:jc w:val="both"/>
        <w:spacing w:after="120" w:line="360" w:lineRule="auto"/>
      </w:pPr>
      <w:r>
        <w:rPr>
          <w:rFonts w:ascii="Times New Roman" w:hAnsi="Times New Roman"/>
          <w:sz w:val="24"/>
          <w:szCs w:val="24"/>
        </w:rPr>
        <w:t xml:space="preserve">Lorem ipsum dolor sit amet, consectetur adipiscing elit. Bu çalışmanın amacı, risk toplumu kuramı çerçevesinde kurumsal dirençliliğin belirleyicilerini incelemektir. Sed do eiusmod tempor incididunt ut labore et dolore magna aliqua. Araştırmada nicel ve nitel yöntemlerin bir arada kullanıldığı karma desen benimsenmiştir; veriler anket ve yarı yapılandırılmış görüşmeler yoluyla toplanmıştır. Ut enim ad minim veniam, quis nostrud exercitation ullamco laboris nisi ut aliquip ex ea commodo consequat. Bulgular, kurumsal dirençliliğin yalnızca yapısal kapasiteyle değil, aynı zamanda toplumsal güven ve iletişim ağlarının yoğunluğuyla da ilişkili olduğunu göstermektedir. Duis aute irure dolor in reprehenderit in voluptate velit esse cillum dolore eu fugiat nulla pariatur. Elde edilen sonuçlar, kriz dönemlerinde kurumların uyum kapasitesini artırmaya yönelik politika önerileri açısından değerlendirilmiştir. Excepteur sint occaecat cupidatat non proident, sunt in culpa qui officia deserunt mollit anim id est laborum. Sonuç olarak, çalışma, dirençlilik kavramının disiplinler arası bir çerçevede ele alınmasının açıklayıcı gücü artırdığını ortaya koymaktadır.</w:t>
      </w:r>
    </w:p>
    <w:p>
      <w:pPr>
        <w:jc w:val="both"/>
        <w:spacing w:after="120" w:line="360" w:lineRule="auto"/>
      </w:pPr>
      <w:r>
        <w:rPr>
          <w:rFonts w:ascii="Times New Roman" w:hAnsi="Times New Roman"/>
          <w:b/>
          <w:sz w:val="24"/>
          <w:szCs w:val="24"/>
        </w:rPr>
        <w:t xml:space="preserve">Anahtar Kelimeler: </w:t>
      </w:r>
      <w:r>
        <w:rPr>
          <w:rFonts w:ascii="Times New Roman" w:hAnsi="Times New Roman"/>
          <w:sz w:val="24"/>
          <w:szCs w:val="24"/>
        </w:rPr>
        <w:t xml:space="preserve">risk toplumu; kurumsal dirençlilik; kriz yönetişimi; toplumsal güven; uyum kapasitesi</w:t>
      </w:r>
    </w:p>
    <w:p>
      <w:pPr>
        <w:spacing w:before="200" w:after="80"/>
      </w:pPr>
      <w:r>
        <w:rPr>
          <w:rFonts w:ascii="Times New Roman" w:hAnsi="Times New Roman"/>
          <w:b/>
          <w:sz w:val="24"/>
          <w:szCs w:val="24"/>
        </w:rPr>
        <w:t xml:space="preserve">Abstract</w:t>
      </w:r>
    </w:p>
    <w:p>
      <w:pPr>
        <w:jc w:val="both"/>
        <w:spacing w:after="120" w:line="360" w:lineRule="auto"/>
      </w:pPr>
      <w:r>
        <w:rPr>
          <w:rFonts w:ascii="Times New Roman" w:hAnsi="Times New Roman"/>
          <w:sz w:val="24"/>
          <w:szCs w:val="24"/>
        </w:rPr>
        <w:t xml:space="preserve">Lorem ipsum dolor sit amet, consectetur adipiscing elit. This study examines the determinants of institutional resilience within the framework of risk society theory. Sed do eiusmod tempor incididunt ut labore et dolore magna aliqua, focusing on the interplay between structural capacity and social trust. The findings suggest that resilience is shaped by communication networks and adaptive governance.</w:t>
      </w:r>
    </w:p>
    <w:p>
      <w:pPr>
        <w:jc w:val="both"/>
        <w:spacing w:after="120" w:line="360" w:lineRule="auto"/>
      </w:pPr>
      <w:r>
        <w:rPr>
          <w:rFonts w:ascii="Times New Roman" w:hAnsi="Times New Roman"/>
          <w:b/>
          <w:sz w:val="24"/>
          <w:szCs w:val="24"/>
        </w:rPr>
        <w:t xml:space="preserve">Keywords: </w:t>
      </w:r>
      <w:r>
        <w:rPr>
          <w:rFonts w:ascii="Times New Roman" w:hAnsi="Times New Roman"/>
          <w:sz w:val="24"/>
          <w:szCs w:val="24"/>
        </w:rPr>
        <w:t xml:space="preserve">risk society; institutional resilience; crisis governance; social trust; adaptive capacity</w:t>
      </w:r>
    </w:p>
    <w:p>
      <w:pPr>
        <w:spacing w:after="60"/>
      </w:pPr>
      <w:r>
        <w:rPr>
          <w:rFonts w:ascii="Times New Roman" w:hAnsi="Times New Roman"/>
          <w:i/>
          <w:sz w:val="20"/>
          <w:szCs w:val="20"/>
          <w:color w:val="808080"/>
        </w:rPr>
        <w:t xml:space="preserve">Not: Yazar isimlerinde akademik unvan kullanılmaz; unvan kongre sistemindeki ilgili alanda belirtilir. Kurum ad ve adresleri mutlaka yazılır. Özet 250-400 kelime, 3-5 anahtar kelime; Times New Roman 12 punto, 1,5 satır aralığı.</w:t>
      </w:r>
    </w:p>
    <w:sectPr>
      <w:pgSz w:w="11906" w:h="16838"/>
      <w:pgMar w:top="1417" w:right="1417" w:bottom="1417" w:left="1417"/>
    </w:sectPr>
  </w:body>
</w:document>
</file>